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93FD" w14:textId="77777777" w:rsidR="006152C3" w:rsidRDefault="009134D3" w:rsidP="009134D3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67461F40" wp14:editId="0829BB96">
            <wp:extent cx="1031365" cy="5715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13" cy="5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FDF1" w14:textId="77777777" w:rsidR="009134D3" w:rsidRDefault="009134D3" w:rsidP="009134D3">
      <w:pPr>
        <w:jc w:val="center"/>
      </w:pPr>
    </w:p>
    <w:p w14:paraId="2DF5E6C3" w14:textId="77777777" w:rsidR="009134D3" w:rsidRPr="009134D3" w:rsidRDefault="00202943" w:rsidP="009134D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Election 2018</w:t>
      </w:r>
      <w:r w:rsidR="009134D3" w:rsidRPr="009134D3">
        <w:rPr>
          <w:rFonts w:asciiTheme="majorHAnsi" w:hAnsiTheme="majorHAnsi"/>
          <w:b/>
          <w:sz w:val="22"/>
          <w:szCs w:val="22"/>
        </w:rPr>
        <w:t xml:space="preserve">:  Candidate </w:t>
      </w:r>
      <w:r w:rsidR="00FF1F7E">
        <w:rPr>
          <w:rFonts w:asciiTheme="majorHAnsi" w:hAnsiTheme="majorHAnsi"/>
          <w:b/>
          <w:sz w:val="22"/>
          <w:szCs w:val="22"/>
        </w:rPr>
        <w:t>Information</w:t>
      </w:r>
      <w:r w:rsidR="009134D3" w:rsidRPr="009134D3">
        <w:rPr>
          <w:rFonts w:asciiTheme="majorHAnsi" w:hAnsiTheme="majorHAnsi"/>
          <w:b/>
          <w:sz w:val="22"/>
          <w:szCs w:val="22"/>
        </w:rPr>
        <w:t xml:space="preserve"> Session</w:t>
      </w:r>
    </w:p>
    <w:p w14:paraId="4DA28302" w14:textId="77777777" w:rsidR="009134D3" w:rsidRDefault="009134D3" w:rsidP="009134D3">
      <w:pPr>
        <w:jc w:val="center"/>
        <w:rPr>
          <w:rFonts w:asciiTheme="majorHAnsi" w:hAnsiTheme="majorHAnsi"/>
          <w:sz w:val="22"/>
          <w:szCs w:val="22"/>
        </w:rPr>
      </w:pPr>
    </w:p>
    <w:p w14:paraId="6E88B818" w14:textId="77777777" w:rsidR="009134D3" w:rsidRPr="00622529" w:rsidRDefault="000A63F3" w:rsidP="009134D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22529">
        <w:rPr>
          <w:rFonts w:asciiTheme="majorHAnsi" w:hAnsiTheme="majorHAnsi"/>
          <w:b/>
          <w:sz w:val="22"/>
          <w:szCs w:val="22"/>
          <w:u w:val="single"/>
        </w:rPr>
        <w:t>Affordable Housing</w:t>
      </w:r>
      <w:r w:rsidR="00FF1F7E" w:rsidRPr="00622529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0E0B5ECB" w14:textId="77777777" w:rsidR="009134D3" w:rsidRPr="00587945" w:rsidRDefault="009134D3" w:rsidP="009134D3">
      <w:pPr>
        <w:rPr>
          <w:rFonts w:asciiTheme="majorHAnsi" w:hAnsiTheme="majorHAnsi"/>
          <w:sz w:val="22"/>
          <w:szCs w:val="22"/>
        </w:rPr>
      </w:pPr>
    </w:p>
    <w:p w14:paraId="65403EC7" w14:textId="77777777" w:rsidR="00622529" w:rsidRDefault="00622529" w:rsidP="009134D3">
      <w:pPr>
        <w:rPr>
          <w:rFonts w:asciiTheme="majorHAnsi" w:hAnsiTheme="majorHAnsi"/>
          <w:b/>
          <w:sz w:val="20"/>
          <w:szCs w:val="20"/>
        </w:rPr>
      </w:pPr>
    </w:p>
    <w:p w14:paraId="6CB53880" w14:textId="77777777" w:rsidR="00FF1F7E" w:rsidRPr="00C20930" w:rsidRDefault="00E82F90" w:rsidP="009134D3">
      <w:pPr>
        <w:rPr>
          <w:rFonts w:asciiTheme="majorHAnsi" w:hAnsiTheme="majorHAnsi"/>
          <w:b/>
          <w:sz w:val="20"/>
          <w:szCs w:val="20"/>
        </w:rPr>
      </w:pPr>
      <w:r w:rsidRPr="00C20930">
        <w:rPr>
          <w:rFonts w:asciiTheme="majorHAnsi" w:hAnsiTheme="majorHAnsi"/>
          <w:b/>
          <w:sz w:val="20"/>
          <w:szCs w:val="20"/>
        </w:rPr>
        <w:t xml:space="preserve">Policy Issue #1:  </w:t>
      </w:r>
      <w:r w:rsidR="00F97B33" w:rsidRPr="00C20930">
        <w:rPr>
          <w:rFonts w:asciiTheme="majorHAnsi" w:hAnsiTheme="majorHAnsi"/>
          <w:b/>
          <w:sz w:val="20"/>
          <w:szCs w:val="20"/>
        </w:rPr>
        <w:t>There is a significant shortage of affordable housing in the County.</w:t>
      </w:r>
    </w:p>
    <w:p w14:paraId="7F456907" w14:textId="77777777" w:rsidR="00FF1F7E" w:rsidRPr="00C20930" w:rsidRDefault="00FF1F7E" w:rsidP="009134D3">
      <w:pPr>
        <w:rPr>
          <w:rFonts w:asciiTheme="majorHAnsi" w:hAnsiTheme="majorHAnsi"/>
          <w:b/>
          <w:sz w:val="20"/>
          <w:szCs w:val="20"/>
        </w:rPr>
      </w:pPr>
    </w:p>
    <w:p w14:paraId="24DB2C5A" w14:textId="77777777" w:rsidR="00E82F90" w:rsidRPr="00C20930" w:rsidRDefault="00E82F90" w:rsidP="009134D3">
      <w:pPr>
        <w:rPr>
          <w:rFonts w:asciiTheme="majorHAnsi" w:hAnsiTheme="majorHAnsi"/>
          <w:i/>
          <w:sz w:val="20"/>
          <w:szCs w:val="20"/>
        </w:rPr>
      </w:pPr>
      <w:r w:rsidRPr="00C20930">
        <w:rPr>
          <w:rFonts w:asciiTheme="majorHAnsi" w:hAnsiTheme="majorHAnsi"/>
          <w:i/>
          <w:sz w:val="20"/>
          <w:szCs w:val="20"/>
        </w:rPr>
        <w:t>Background</w:t>
      </w:r>
    </w:p>
    <w:p w14:paraId="07414773" w14:textId="77777777" w:rsidR="00AD15FC" w:rsidRDefault="00F97B33" w:rsidP="00E82F9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There is a shortage of 6,600+ affordable rental housing units for households making less than $50,000</w:t>
      </w:r>
      <w:r w:rsidR="00C20930" w:rsidRPr="00C20930">
        <w:rPr>
          <w:rFonts w:asciiTheme="majorHAnsi" w:hAnsiTheme="majorHAnsi"/>
          <w:sz w:val="20"/>
          <w:szCs w:val="20"/>
        </w:rPr>
        <w:t>.</w:t>
      </w:r>
      <w:r w:rsidRPr="00C20930">
        <w:rPr>
          <w:rFonts w:asciiTheme="majorHAnsi" w:hAnsiTheme="majorHAnsi"/>
          <w:sz w:val="20"/>
          <w:szCs w:val="20"/>
        </w:rPr>
        <w:t xml:space="preserve"> </w:t>
      </w:r>
      <w:r w:rsidR="00AD15FC">
        <w:rPr>
          <w:rFonts w:asciiTheme="majorHAnsi" w:hAnsiTheme="majorHAnsi"/>
          <w:sz w:val="20"/>
          <w:szCs w:val="20"/>
        </w:rPr>
        <w:t>(1)</w:t>
      </w:r>
    </w:p>
    <w:p w14:paraId="6E5EB694" w14:textId="77777777" w:rsidR="00E82F90" w:rsidRPr="00C20930" w:rsidRDefault="00F97B33" w:rsidP="00E82F9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The mean wage for rental households in Ho</w:t>
      </w:r>
      <w:r w:rsidR="00AD15FC">
        <w:rPr>
          <w:rFonts w:asciiTheme="majorHAnsi" w:hAnsiTheme="majorHAnsi"/>
          <w:sz w:val="20"/>
          <w:szCs w:val="20"/>
        </w:rPr>
        <w:t xml:space="preserve">ward County in 2018 is $19.98.  </w:t>
      </w:r>
      <w:r w:rsidRPr="00C20930">
        <w:rPr>
          <w:rFonts w:asciiTheme="majorHAnsi" w:hAnsiTheme="majorHAnsi"/>
          <w:sz w:val="20"/>
          <w:szCs w:val="20"/>
        </w:rPr>
        <w:t xml:space="preserve">The rent </w:t>
      </w:r>
      <w:r w:rsidR="003D52E3" w:rsidRPr="00C20930">
        <w:rPr>
          <w:rFonts w:asciiTheme="majorHAnsi" w:hAnsiTheme="majorHAnsi"/>
          <w:sz w:val="20"/>
          <w:szCs w:val="20"/>
        </w:rPr>
        <w:t xml:space="preserve">affordable (not more than 30% of income) at this wage is </w:t>
      </w:r>
      <w:r w:rsidR="00D73ADD" w:rsidRPr="00C20930">
        <w:rPr>
          <w:rFonts w:asciiTheme="majorHAnsi" w:hAnsiTheme="majorHAnsi"/>
          <w:sz w:val="20"/>
          <w:szCs w:val="20"/>
        </w:rPr>
        <w:t xml:space="preserve">approximately </w:t>
      </w:r>
      <w:r w:rsidR="003D52E3" w:rsidRPr="00C20930">
        <w:rPr>
          <w:rFonts w:asciiTheme="majorHAnsi" w:hAnsiTheme="majorHAnsi"/>
          <w:sz w:val="20"/>
          <w:szCs w:val="20"/>
        </w:rPr>
        <w:t xml:space="preserve">$1,039, which would only be enough to rent a studio/efficiency. </w:t>
      </w:r>
      <w:r w:rsidR="00D73ADD" w:rsidRPr="00C20930">
        <w:rPr>
          <w:rFonts w:asciiTheme="majorHAnsi" w:hAnsiTheme="majorHAnsi"/>
          <w:sz w:val="20"/>
          <w:szCs w:val="20"/>
        </w:rPr>
        <w:t xml:space="preserve"> </w:t>
      </w:r>
      <w:r w:rsidR="00AD15FC">
        <w:rPr>
          <w:rFonts w:asciiTheme="majorHAnsi" w:hAnsiTheme="majorHAnsi"/>
          <w:sz w:val="20"/>
          <w:szCs w:val="20"/>
        </w:rPr>
        <w:t>(2</w:t>
      </w:r>
      <w:r w:rsidR="00C20930" w:rsidRPr="00C20930">
        <w:rPr>
          <w:rFonts w:asciiTheme="majorHAnsi" w:hAnsiTheme="majorHAnsi"/>
          <w:sz w:val="20"/>
          <w:szCs w:val="20"/>
        </w:rPr>
        <w:t>)</w:t>
      </w:r>
    </w:p>
    <w:p w14:paraId="428F479F" w14:textId="77777777" w:rsidR="00C20930" w:rsidRPr="00C20930" w:rsidRDefault="00670A1D" w:rsidP="00E82F90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There are less than 200 studio/efficiencies in the County available for rent, less than 1% of the available rental housing in the County.</w:t>
      </w:r>
      <w:r w:rsidR="00C20930" w:rsidRPr="00C20930">
        <w:rPr>
          <w:rFonts w:asciiTheme="majorHAnsi" w:hAnsiTheme="majorHAnsi"/>
          <w:sz w:val="20"/>
          <w:szCs w:val="20"/>
        </w:rPr>
        <w:t xml:space="preserve"> (1)</w:t>
      </w:r>
      <w:r w:rsidRPr="00C20930">
        <w:rPr>
          <w:rFonts w:asciiTheme="majorHAnsi" w:hAnsiTheme="majorHAnsi"/>
          <w:sz w:val="20"/>
          <w:szCs w:val="20"/>
        </w:rPr>
        <w:t xml:space="preserve"> </w:t>
      </w:r>
    </w:p>
    <w:p w14:paraId="0DBB8258" w14:textId="77777777" w:rsidR="00FF1F7E" w:rsidRPr="00C20930" w:rsidRDefault="000A63F3" w:rsidP="00FF1F7E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Evictions have ranged between 330 and 430 households each year for the past 8 years</w:t>
      </w:r>
      <w:r w:rsidR="00C20930" w:rsidRPr="00C20930">
        <w:rPr>
          <w:rFonts w:asciiTheme="majorHAnsi" w:hAnsiTheme="majorHAnsi"/>
          <w:sz w:val="20"/>
          <w:szCs w:val="20"/>
        </w:rPr>
        <w:t xml:space="preserve">. </w:t>
      </w:r>
      <w:r w:rsidR="00C20930">
        <w:rPr>
          <w:rFonts w:asciiTheme="majorHAnsi" w:hAnsiTheme="majorHAnsi"/>
          <w:sz w:val="20"/>
          <w:szCs w:val="20"/>
        </w:rPr>
        <w:t xml:space="preserve"> (2)</w:t>
      </w:r>
    </w:p>
    <w:p w14:paraId="6D842CCD" w14:textId="77777777" w:rsidR="00C20930" w:rsidRPr="00C20930" w:rsidRDefault="00C20930" w:rsidP="00FF1F7E">
      <w:pPr>
        <w:rPr>
          <w:rFonts w:asciiTheme="majorHAnsi" w:hAnsiTheme="majorHAnsi"/>
          <w:b/>
          <w:sz w:val="20"/>
          <w:szCs w:val="20"/>
        </w:rPr>
      </w:pPr>
    </w:p>
    <w:p w14:paraId="02B7B594" w14:textId="77777777" w:rsidR="00FF1F7E" w:rsidRPr="00C20930" w:rsidRDefault="00E82F90" w:rsidP="00FF1F7E">
      <w:pPr>
        <w:rPr>
          <w:rFonts w:asciiTheme="majorHAnsi" w:hAnsiTheme="majorHAnsi"/>
          <w:b/>
          <w:sz w:val="20"/>
          <w:szCs w:val="20"/>
        </w:rPr>
      </w:pPr>
      <w:r w:rsidRPr="00C20930">
        <w:rPr>
          <w:rFonts w:asciiTheme="majorHAnsi" w:hAnsiTheme="majorHAnsi"/>
          <w:b/>
          <w:sz w:val="20"/>
          <w:szCs w:val="20"/>
        </w:rPr>
        <w:t>Policy Issue #2:</w:t>
      </w:r>
      <w:r w:rsidRPr="00C20930">
        <w:rPr>
          <w:rFonts w:asciiTheme="majorHAnsi" w:hAnsiTheme="majorHAnsi"/>
          <w:b/>
          <w:sz w:val="20"/>
          <w:szCs w:val="20"/>
        </w:rPr>
        <w:tab/>
      </w:r>
      <w:r w:rsidR="00F97B33" w:rsidRPr="00C20930">
        <w:rPr>
          <w:rFonts w:asciiTheme="majorHAnsi" w:hAnsiTheme="majorHAnsi"/>
          <w:b/>
          <w:sz w:val="20"/>
          <w:szCs w:val="20"/>
        </w:rPr>
        <w:t>The lack of affordable housing makes it difficult to house vulnerable populations.</w:t>
      </w:r>
    </w:p>
    <w:p w14:paraId="5CBDA10B" w14:textId="77777777" w:rsidR="00FF1F7E" w:rsidRPr="00C20930" w:rsidRDefault="00FF1F7E" w:rsidP="00FF1F7E">
      <w:pPr>
        <w:rPr>
          <w:rFonts w:asciiTheme="majorHAnsi" w:hAnsiTheme="majorHAnsi"/>
          <w:sz w:val="20"/>
          <w:szCs w:val="20"/>
        </w:rPr>
      </w:pPr>
    </w:p>
    <w:p w14:paraId="71D7F844" w14:textId="77777777" w:rsidR="00FF1F7E" w:rsidRPr="00C20930" w:rsidRDefault="00E82F90" w:rsidP="00E82F90">
      <w:pPr>
        <w:rPr>
          <w:rFonts w:asciiTheme="majorHAnsi" w:hAnsiTheme="majorHAnsi"/>
          <w:i/>
          <w:sz w:val="20"/>
          <w:szCs w:val="20"/>
        </w:rPr>
      </w:pPr>
      <w:r w:rsidRPr="00C20930">
        <w:rPr>
          <w:rFonts w:asciiTheme="majorHAnsi" w:hAnsiTheme="majorHAnsi"/>
          <w:i/>
          <w:sz w:val="20"/>
          <w:szCs w:val="20"/>
        </w:rPr>
        <w:t>Background</w:t>
      </w:r>
    </w:p>
    <w:p w14:paraId="055C2E4F" w14:textId="273C88B8" w:rsidR="00C20930" w:rsidRPr="00B000AA" w:rsidRDefault="00FD5491" w:rsidP="00E82F90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The Howard County Public Sch</w:t>
      </w:r>
      <w:r w:rsidR="00AD15B7" w:rsidRPr="00C20930">
        <w:rPr>
          <w:rFonts w:asciiTheme="majorHAnsi" w:hAnsiTheme="majorHAnsi"/>
          <w:sz w:val="20"/>
          <w:szCs w:val="20"/>
        </w:rPr>
        <w:t>ool System reports there are 5</w:t>
      </w:r>
      <w:r w:rsidR="00B000AA">
        <w:rPr>
          <w:rFonts w:asciiTheme="majorHAnsi" w:hAnsiTheme="majorHAnsi"/>
          <w:sz w:val="20"/>
          <w:szCs w:val="20"/>
        </w:rPr>
        <w:t xml:space="preserve">40 </w:t>
      </w:r>
      <w:r w:rsidRPr="00C20930">
        <w:rPr>
          <w:rFonts w:asciiTheme="majorHAnsi" w:hAnsiTheme="majorHAnsi"/>
          <w:sz w:val="20"/>
          <w:szCs w:val="20"/>
        </w:rPr>
        <w:t>school students (</w:t>
      </w:r>
      <w:r w:rsidR="00AD15B7" w:rsidRPr="00B000AA">
        <w:rPr>
          <w:rFonts w:asciiTheme="majorHAnsi" w:hAnsiTheme="majorHAnsi"/>
          <w:sz w:val="20"/>
          <w:szCs w:val="20"/>
        </w:rPr>
        <w:t xml:space="preserve">approximately </w:t>
      </w:r>
      <w:r w:rsidR="002D507C" w:rsidRPr="00B000AA">
        <w:rPr>
          <w:rFonts w:asciiTheme="majorHAnsi" w:hAnsiTheme="majorHAnsi"/>
          <w:sz w:val="20"/>
          <w:szCs w:val="20"/>
        </w:rPr>
        <w:t>235</w:t>
      </w:r>
      <w:r w:rsidRPr="00B000AA">
        <w:rPr>
          <w:rFonts w:asciiTheme="majorHAnsi" w:hAnsiTheme="majorHAnsi"/>
          <w:sz w:val="20"/>
          <w:szCs w:val="20"/>
        </w:rPr>
        <w:t xml:space="preserve"> families) who are homeless or experiencing housing instability and at risk of homelessness. </w:t>
      </w:r>
      <w:r w:rsidR="00B000AA" w:rsidRPr="00B000AA">
        <w:rPr>
          <w:rFonts w:asciiTheme="majorHAnsi" w:hAnsiTheme="majorHAnsi"/>
          <w:sz w:val="20"/>
          <w:szCs w:val="20"/>
        </w:rPr>
        <w:t xml:space="preserve"> (4</w:t>
      </w:r>
      <w:r w:rsidR="00C20930" w:rsidRPr="00B000AA">
        <w:rPr>
          <w:rFonts w:asciiTheme="majorHAnsi" w:hAnsiTheme="majorHAnsi"/>
          <w:sz w:val="20"/>
          <w:szCs w:val="20"/>
        </w:rPr>
        <w:t xml:space="preserve">) </w:t>
      </w:r>
    </w:p>
    <w:p w14:paraId="3C694BDD" w14:textId="7A044901" w:rsidR="00AD15FC" w:rsidRPr="00B000AA" w:rsidRDefault="00FD5491" w:rsidP="00E82F90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B000AA">
        <w:rPr>
          <w:rFonts w:asciiTheme="majorHAnsi" w:hAnsiTheme="majorHAnsi"/>
          <w:sz w:val="20"/>
          <w:szCs w:val="20"/>
        </w:rPr>
        <w:t>Seniors (65+ y</w:t>
      </w:r>
      <w:r w:rsidR="00C20930" w:rsidRPr="00B000AA">
        <w:rPr>
          <w:rFonts w:asciiTheme="majorHAnsi" w:hAnsiTheme="majorHAnsi"/>
          <w:sz w:val="20"/>
          <w:szCs w:val="20"/>
        </w:rPr>
        <w:t>ea</w:t>
      </w:r>
      <w:r w:rsidR="00B000AA" w:rsidRPr="00B000AA">
        <w:rPr>
          <w:rFonts w:asciiTheme="majorHAnsi" w:hAnsiTheme="majorHAnsi"/>
          <w:sz w:val="20"/>
          <w:szCs w:val="20"/>
        </w:rPr>
        <w:t>rs) comprise 12.2</w:t>
      </w:r>
      <w:r w:rsidRPr="00B000AA">
        <w:rPr>
          <w:rFonts w:asciiTheme="majorHAnsi" w:hAnsiTheme="majorHAnsi"/>
          <w:sz w:val="20"/>
          <w:szCs w:val="20"/>
        </w:rPr>
        <w:t>% of the Howard County population</w:t>
      </w:r>
      <w:r w:rsidR="00A97DAD" w:rsidRPr="00B000AA">
        <w:rPr>
          <w:rFonts w:asciiTheme="majorHAnsi" w:hAnsiTheme="majorHAnsi"/>
          <w:sz w:val="20"/>
          <w:szCs w:val="20"/>
        </w:rPr>
        <w:t>.  (</w:t>
      </w:r>
      <w:r w:rsidR="00B000AA" w:rsidRPr="00B000AA">
        <w:rPr>
          <w:rFonts w:asciiTheme="majorHAnsi" w:hAnsiTheme="majorHAnsi"/>
          <w:sz w:val="20"/>
          <w:szCs w:val="20"/>
        </w:rPr>
        <w:t>5</w:t>
      </w:r>
      <w:r w:rsidR="00A97DAD" w:rsidRPr="00B000AA">
        <w:rPr>
          <w:rFonts w:asciiTheme="majorHAnsi" w:hAnsiTheme="majorHAnsi"/>
          <w:sz w:val="20"/>
          <w:szCs w:val="20"/>
        </w:rPr>
        <w:t>)</w:t>
      </w:r>
      <w:r w:rsidR="00544D10" w:rsidRPr="00B000AA">
        <w:rPr>
          <w:rFonts w:asciiTheme="majorHAnsi" w:hAnsiTheme="majorHAnsi"/>
          <w:sz w:val="20"/>
          <w:szCs w:val="20"/>
        </w:rPr>
        <w:t xml:space="preserve">  </w:t>
      </w:r>
      <w:r w:rsidRPr="00B000AA">
        <w:rPr>
          <w:rFonts w:asciiTheme="majorHAnsi" w:hAnsiTheme="majorHAnsi"/>
          <w:sz w:val="20"/>
          <w:szCs w:val="20"/>
        </w:rPr>
        <w:t xml:space="preserve"> </w:t>
      </w:r>
      <w:r w:rsidR="00AD15B7" w:rsidRPr="00B000AA">
        <w:rPr>
          <w:rFonts w:asciiTheme="majorHAnsi" w:hAnsiTheme="majorHAnsi"/>
          <w:sz w:val="20"/>
          <w:szCs w:val="20"/>
        </w:rPr>
        <w:t xml:space="preserve">Many </w:t>
      </w:r>
      <w:r w:rsidR="00AD15FC" w:rsidRPr="00B000AA">
        <w:rPr>
          <w:rFonts w:asciiTheme="majorHAnsi" w:hAnsiTheme="majorHAnsi"/>
          <w:sz w:val="20"/>
          <w:szCs w:val="20"/>
        </w:rPr>
        <w:t>of these seniors</w:t>
      </w:r>
      <w:r w:rsidR="00AD15B7" w:rsidRPr="00B000AA">
        <w:rPr>
          <w:rFonts w:asciiTheme="majorHAnsi" w:hAnsiTheme="majorHAnsi"/>
          <w:sz w:val="20"/>
          <w:szCs w:val="20"/>
        </w:rPr>
        <w:t xml:space="preserve"> struggle to stay in the County due to the high housing costs and their fixed income and resources.  </w:t>
      </w:r>
      <w:r w:rsidR="00D73ADD" w:rsidRPr="00B000AA">
        <w:rPr>
          <w:rFonts w:asciiTheme="majorHAnsi" w:hAnsiTheme="majorHAnsi"/>
          <w:sz w:val="20"/>
          <w:szCs w:val="20"/>
        </w:rPr>
        <w:t>This issue will be exacerbated as the population of se</w:t>
      </w:r>
      <w:r w:rsidR="00AD15B7" w:rsidRPr="00B000AA">
        <w:rPr>
          <w:rFonts w:asciiTheme="majorHAnsi" w:hAnsiTheme="majorHAnsi"/>
          <w:sz w:val="20"/>
          <w:szCs w:val="20"/>
        </w:rPr>
        <w:t>niors is projected to double by 2050</w:t>
      </w:r>
      <w:r w:rsidR="00D73ADD" w:rsidRPr="00B000AA">
        <w:rPr>
          <w:rFonts w:asciiTheme="majorHAnsi" w:hAnsiTheme="majorHAnsi"/>
          <w:sz w:val="20"/>
          <w:szCs w:val="20"/>
        </w:rPr>
        <w:t>.</w:t>
      </w:r>
      <w:r w:rsidR="00AD15FC" w:rsidRPr="00B000AA">
        <w:rPr>
          <w:rFonts w:asciiTheme="majorHAnsi" w:hAnsiTheme="majorHAnsi"/>
          <w:sz w:val="20"/>
          <w:szCs w:val="20"/>
        </w:rPr>
        <w:t xml:space="preserve"> (</w:t>
      </w:r>
      <w:r w:rsidR="00B000AA" w:rsidRPr="00B000AA">
        <w:rPr>
          <w:rFonts w:asciiTheme="majorHAnsi" w:hAnsiTheme="majorHAnsi"/>
          <w:sz w:val="20"/>
          <w:szCs w:val="20"/>
        </w:rPr>
        <w:t>6</w:t>
      </w:r>
      <w:r w:rsidR="00AD15FC" w:rsidRPr="00B000AA">
        <w:rPr>
          <w:rFonts w:asciiTheme="majorHAnsi" w:hAnsiTheme="majorHAnsi"/>
          <w:sz w:val="20"/>
          <w:szCs w:val="20"/>
        </w:rPr>
        <w:t>)</w:t>
      </w:r>
      <w:r w:rsidR="00D73ADD" w:rsidRPr="00B000AA">
        <w:rPr>
          <w:rFonts w:asciiTheme="majorHAnsi" w:hAnsiTheme="majorHAnsi"/>
          <w:sz w:val="20"/>
          <w:szCs w:val="20"/>
        </w:rPr>
        <w:t xml:space="preserve"> </w:t>
      </w:r>
    </w:p>
    <w:p w14:paraId="2E903BD9" w14:textId="77777777" w:rsidR="00BC1E48" w:rsidRPr="00B000AA" w:rsidRDefault="00D73ADD" w:rsidP="00BC1E48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B000AA">
        <w:rPr>
          <w:rFonts w:asciiTheme="majorHAnsi" w:hAnsiTheme="majorHAnsi"/>
          <w:sz w:val="20"/>
          <w:szCs w:val="20"/>
        </w:rPr>
        <w:t>22,089 individuals with disabilities live in Howard County</w:t>
      </w:r>
      <w:r w:rsidR="005314E4" w:rsidRPr="00B000AA">
        <w:rPr>
          <w:rFonts w:asciiTheme="majorHAnsi" w:hAnsiTheme="majorHAnsi"/>
          <w:sz w:val="20"/>
          <w:szCs w:val="20"/>
        </w:rPr>
        <w:t>.</w:t>
      </w:r>
      <w:r w:rsidR="00BC1E48" w:rsidRPr="00B000AA">
        <w:rPr>
          <w:rFonts w:asciiTheme="majorHAnsi" w:hAnsiTheme="majorHAnsi"/>
          <w:sz w:val="20"/>
          <w:szCs w:val="20"/>
        </w:rPr>
        <w:t xml:space="preserve"> (7)</w:t>
      </w:r>
      <w:r w:rsidR="005314E4" w:rsidRPr="00B000AA">
        <w:rPr>
          <w:rFonts w:asciiTheme="majorHAnsi" w:hAnsiTheme="majorHAnsi"/>
          <w:sz w:val="20"/>
          <w:szCs w:val="20"/>
        </w:rPr>
        <w:t xml:space="preserve"> </w:t>
      </w:r>
      <w:r w:rsidR="00BC1E48" w:rsidRPr="00B000AA">
        <w:rPr>
          <w:rFonts w:asciiTheme="majorHAnsi" w:hAnsiTheme="majorHAnsi"/>
          <w:sz w:val="20"/>
          <w:szCs w:val="20"/>
        </w:rPr>
        <w:t xml:space="preserve"> </w:t>
      </w:r>
      <w:r w:rsidR="00AD15B7" w:rsidRPr="00B000AA">
        <w:rPr>
          <w:rFonts w:asciiTheme="majorHAnsi" w:hAnsiTheme="majorHAnsi"/>
          <w:sz w:val="20"/>
          <w:szCs w:val="20"/>
        </w:rPr>
        <w:t xml:space="preserve">Due to the County’s high housing costs, many of these individuals struggle to stay in the County, near their family and support system.  </w:t>
      </w:r>
    </w:p>
    <w:p w14:paraId="6E54B026" w14:textId="77777777" w:rsidR="00BC1E48" w:rsidRDefault="00D73ADD" w:rsidP="00622529">
      <w:pPr>
        <w:pStyle w:val="ListParagraph"/>
        <w:numPr>
          <w:ilvl w:val="1"/>
          <w:numId w:val="11"/>
        </w:numPr>
        <w:rPr>
          <w:rFonts w:asciiTheme="majorHAnsi" w:hAnsiTheme="majorHAnsi"/>
          <w:sz w:val="20"/>
          <w:szCs w:val="20"/>
        </w:rPr>
      </w:pPr>
      <w:r w:rsidRPr="00B000AA">
        <w:rPr>
          <w:rFonts w:asciiTheme="majorHAnsi" w:hAnsiTheme="majorHAnsi"/>
          <w:sz w:val="20"/>
          <w:szCs w:val="20"/>
        </w:rPr>
        <w:t xml:space="preserve">140 Howard County residents </w:t>
      </w:r>
      <w:r w:rsidR="00AD15B7" w:rsidRPr="00B000AA">
        <w:rPr>
          <w:rFonts w:asciiTheme="majorHAnsi" w:hAnsiTheme="majorHAnsi"/>
          <w:sz w:val="20"/>
          <w:szCs w:val="20"/>
        </w:rPr>
        <w:t xml:space="preserve">with incomes at or below 30% of the County’s median income </w:t>
      </w:r>
      <w:r w:rsidR="00BC1E48" w:rsidRPr="00B000AA">
        <w:rPr>
          <w:rFonts w:asciiTheme="majorHAnsi" w:hAnsiTheme="majorHAnsi"/>
          <w:sz w:val="20"/>
          <w:szCs w:val="20"/>
        </w:rPr>
        <w:t xml:space="preserve">are </w:t>
      </w:r>
      <w:r w:rsidR="00AD15B7" w:rsidRPr="00B000AA">
        <w:rPr>
          <w:rFonts w:asciiTheme="majorHAnsi" w:hAnsiTheme="majorHAnsi"/>
          <w:sz w:val="20"/>
          <w:szCs w:val="20"/>
        </w:rPr>
        <w:t>on</w:t>
      </w:r>
      <w:r w:rsidRPr="00B000AA">
        <w:rPr>
          <w:rFonts w:asciiTheme="majorHAnsi" w:hAnsiTheme="majorHAnsi"/>
          <w:sz w:val="20"/>
          <w:szCs w:val="20"/>
        </w:rPr>
        <w:t xml:space="preserve"> the Maryland Department of Disabilities’ waiting list for project-based rental</w:t>
      </w:r>
      <w:r w:rsidRPr="00AD15FC">
        <w:rPr>
          <w:rFonts w:asciiTheme="majorHAnsi" w:hAnsiTheme="majorHAnsi"/>
          <w:sz w:val="20"/>
          <w:szCs w:val="20"/>
        </w:rPr>
        <w:t xml:space="preserve"> assistance.</w:t>
      </w:r>
    </w:p>
    <w:p w14:paraId="41F6841C" w14:textId="77777777" w:rsidR="00FF1F7E" w:rsidRPr="00C20930" w:rsidRDefault="00AD15B7" w:rsidP="00622529">
      <w:pPr>
        <w:pStyle w:val="ListParagraph"/>
        <w:numPr>
          <w:ilvl w:val="1"/>
          <w:numId w:val="11"/>
        </w:numPr>
        <w:rPr>
          <w:rFonts w:asciiTheme="majorHAnsi" w:hAnsiTheme="majorHAnsi"/>
          <w:sz w:val="20"/>
          <w:szCs w:val="20"/>
        </w:rPr>
      </w:pPr>
      <w:r w:rsidRPr="00AD15FC">
        <w:rPr>
          <w:rFonts w:asciiTheme="majorHAnsi" w:hAnsiTheme="majorHAnsi"/>
          <w:sz w:val="20"/>
          <w:szCs w:val="20"/>
        </w:rPr>
        <w:t xml:space="preserve">At least 46 of these individuals are at risk of becoming homeless or </w:t>
      </w:r>
      <w:r w:rsidR="00BC1E48">
        <w:rPr>
          <w:rFonts w:asciiTheme="majorHAnsi" w:hAnsiTheme="majorHAnsi"/>
          <w:sz w:val="20"/>
          <w:szCs w:val="20"/>
        </w:rPr>
        <w:t xml:space="preserve">being </w:t>
      </w:r>
      <w:r w:rsidRPr="00AD15FC">
        <w:rPr>
          <w:rFonts w:asciiTheme="majorHAnsi" w:hAnsiTheme="majorHAnsi"/>
          <w:sz w:val="20"/>
          <w:szCs w:val="20"/>
        </w:rPr>
        <w:t>forced to move out of the County</w:t>
      </w:r>
      <w:r w:rsidR="00622529">
        <w:rPr>
          <w:rFonts w:asciiTheme="majorHAnsi" w:hAnsiTheme="majorHAnsi"/>
          <w:sz w:val="20"/>
          <w:szCs w:val="20"/>
        </w:rPr>
        <w:t>—and</w:t>
      </w:r>
      <w:r w:rsidRPr="00AD15FC">
        <w:rPr>
          <w:rFonts w:asciiTheme="majorHAnsi" w:hAnsiTheme="majorHAnsi"/>
          <w:sz w:val="20"/>
          <w:szCs w:val="20"/>
        </w:rPr>
        <w:t xml:space="preserve"> away from family the other sup</w:t>
      </w:r>
      <w:r w:rsidR="00622529">
        <w:rPr>
          <w:rFonts w:asciiTheme="majorHAnsi" w:hAnsiTheme="majorHAnsi"/>
          <w:sz w:val="20"/>
          <w:szCs w:val="20"/>
        </w:rPr>
        <w:t xml:space="preserve">ports—without </w:t>
      </w:r>
      <w:r w:rsidR="00BC1E48">
        <w:rPr>
          <w:rFonts w:asciiTheme="majorHAnsi" w:hAnsiTheme="majorHAnsi"/>
          <w:sz w:val="20"/>
          <w:szCs w:val="20"/>
        </w:rPr>
        <w:t xml:space="preserve">this assistance. </w:t>
      </w:r>
    </w:p>
    <w:p w14:paraId="29370C00" w14:textId="77777777" w:rsidR="00BC1E48" w:rsidRDefault="00BC1E48" w:rsidP="00E82F90">
      <w:pPr>
        <w:pStyle w:val="ListParagraph"/>
        <w:ind w:left="0"/>
        <w:rPr>
          <w:rFonts w:asciiTheme="majorHAnsi" w:hAnsiTheme="majorHAnsi"/>
          <w:i/>
          <w:sz w:val="20"/>
          <w:szCs w:val="20"/>
        </w:rPr>
      </w:pPr>
    </w:p>
    <w:p w14:paraId="3FD43012" w14:textId="77777777" w:rsidR="00E82F90" w:rsidRPr="00622529" w:rsidRDefault="00E82F90" w:rsidP="00E82F90">
      <w:pPr>
        <w:pStyle w:val="ListParagraph"/>
        <w:ind w:left="0"/>
        <w:rPr>
          <w:rFonts w:asciiTheme="majorHAnsi" w:hAnsiTheme="majorHAnsi"/>
          <w:b/>
          <w:i/>
          <w:sz w:val="20"/>
          <w:szCs w:val="20"/>
        </w:rPr>
      </w:pPr>
      <w:r w:rsidRPr="00622529">
        <w:rPr>
          <w:rFonts w:asciiTheme="majorHAnsi" w:hAnsiTheme="majorHAnsi"/>
          <w:b/>
          <w:i/>
          <w:sz w:val="20"/>
          <w:szCs w:val="20"/>
        </w:rPr>
        <w:t>Policy opportunities to address issues #1 and #2</w:t>
      </w:r>
    </w:p>
    <w:p w14:paraId="4A44F4BC" w14:textId="77777777" w:rsidR="00E82F90" w:rsidRDefault="00E82F90" w:rsidP="00E82F90">
      <w:pPr>
        <w:rPr>
          <w:rFonts w:asciiTheme="majorHAnsi" w:hAnsiTheme="majorHAnsi"/>
          <w:b/>
          <w:sz w:val="20"/>
          <w:szCs w:val="20"/>
        </w:rPr>
      </w:pPr>
    </w:p>
    <w:p w14:paraId="6D626F86" w14:textId="57966793" w:rsidR="00B05638" w:rsidRPr="00C20930" w:rsidRDefault="00B05638" w:rsidP="00E82F9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County-Level</w:t>
      </w:r>
    </w:p>
    <w:p w14:paraId="49ACCC7A" w14:textId="78F787DE" w:rsidR="00B05638" w:rsidRPr="00B05638" w:rsidRDefault="00E82F90" w:rsidP="00B0563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 xml:space="preserve">Expand development fees, </w:t>
      </w:r>
      <w:r w:rsidR="00B05638">
        <w:rPr>
          <w:rFonts w:asciiTheme="majorHAnsi" w:hAnsiTheme="majorHAnsi"/>
          <w:sz w:val="20"/>
          <w:szCs w:val="20"/>
        </w:rPr>
        <w:t xml:space="preserve">excise taxes, transfer taxes </w:t>
      </w:r>
      <w:r w:rsidR="00B05638" w:rsidRPr="00C20930">
        <w:rPr>
          <w:rFonts w:asciiTheme="majorHAnsi" w:hAnsiTheme="majorHAnsi"/>
          <w:sz w:val="20"/>
          <w:szCs w:val="20"/>
        </w:rPr>
        <w:t xml:space="preserve">to </w:t>
      </w:r>
      <w:r w:rsidR="00B05638">
        <w:rPr>
          <w:rFonts w:asciiTheme="majorHAnsi" w:hAnsiTheme="majorHAnsi"/>
          <w:sz w:val="20"/>
          <w:szCs w:val="20"/>
        </w:rPr>
        <w:t>help finance local needs, including affordable housing</w:t>
      </w:r>
    </w:p>
    <w:p w14:paraId="4BB24F93" w14:textId="4E3F4CB3" w:rsidR="00B05638" w:rsidRDefault="00B05638" w:rsidP="00B0563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Increase affordable housing development requirements through the upcoming rewrite of the County’s zoning code</w:t>
      </w:r>
      <w:r w:rsidR="00E82F90" w:rsidRPr="00C20930">
        <w:rPr>
          <w:rFonts w:asciiTheme="majorHAnsi" w:hAnsiTheme="majorHAnsi"/>
          <w:sz w:val="20"/>
          <w:szCs w:val="20"/>
        </w:rPr>
        <w:t xml:space="preserve"> and </w:t>
      </w:r>
      <w:r>
        <w:rPr>
          <w:rFonts w:asciiTheme="majorHAnsi" w:hAnsiTheme="majorHAnsi"/>
          <w:sz w:val="20"/>
          <w:szCs w:val="20"/>
        </w:rPr>
        <w:t xml:space="preserve">strengthening of </w:t>
      </w:r>
      <w:r w:rsidR="00E82F90" w:rsidRPr="00C20930">
        <w:rPr>
          <w:rFonts w:asciiTheme="majorHAnsi" w:hAnsiTheme="majorHAnsi"/>
          <w:sz w:val="20"/>
          <w:szCs w:val="20"/>
        </w:rPr>
        <w:t xml:space="preserve">the </w:t>
      </w:r>
      <w:r w:rsidR="00CC14B2" w:rsidRPr="00C20930">
        <w:rPr>
          <w:rFonts w:asciiTheme="majorHAnsi" w:hAnsiTheme="majorHAnsi"/>
          <w:sz w:val="20"/>
          <w:szCs w:val="20"/>
        </w:rPr>
        <w:t>Moderate-Income</w:t>
      </w:r>
      <w:r w:rsidR="00E82F90" w:rsidRPr="00C20930">
        <w:rPr>
          <w:rFonts w:asciiTheme="majorHAnsi" w:hAnsiTheme="majorHAnsi"/>
          <w:sz w:val="20"/>
          <w:szCs w:val="20"/>
        </w:rPr>
        <w:t xml:space="preserve"> Housing Unit </w:t>
      </w:r>
      <w:r>
        <w:rPr>
          <w:rFonts w:asciiTheme="majorHAnsi" w:hAnsiTheme="majorHAnsi"/>
          <w:sz w:val="20"/>
          <w:szCs w:val="20"/>
        </w:rPr>
        <w:t xml:space="preserve">(MIHU) </w:t>
      </w:r>
      <w:r w:rsidR="00E82F90" w:rsidRPr="00C20930">
        <w:rPr>
          <w:rFonts w:asciiTheme="majorHAnsi" w:hAnsiTheme="majorHAnsi"/>
          <w:sz w:val="20"/>
          <w:szCs w:val="20"/>
        </w:rPr>
        <w:t xml:space="preserve">program </w:t>
      </w:r>
      <w:r>
        <w:rPr>
          <w:rFonts w:asciiTheme="majorHAnsi" w:hAnsiTheme="majorHAnsi"/>
          <w:sz w:val="20"/>
          <w:szCs w:val="20"/>
        </w:rPr>
        <w:t>(</w:t>
      </w:r>
      <w:r w:rsidR="00E82F90" w:rsidRPr="00C20930">
        <w:rPr>
          <w:rFonts w:asciiTheme="majorHAnsi" w:hAnsiTheme="majorHAnsi"/>
          <w:sz w:val="20"/>
          <w:szCs w:val="20"/>
        </w:rPr>
        <w:t>including the fee-in-lieu component</w:t>
      </w:r>
      <w:r>
        <w:rPr>
          <w:rFonts w:asciiTheme="majorHAnsi" w:hAnsiTheme="majorHAnsi"/>
          <w:sz w:val="20"/>
          <w:szCs w:val="20"/>
        </w:rPr>
        <w:t>)</w:t>
      </w:r>
      <w:r w:rsidR="00E82F90" w:rsidRPr="00C20930">
        <w:rPr>
          <w:rFonts w:asciiTheme="majorHAnsi" w:hAnsiTheme="majorHAnsi"/>
          <w:sz w:val="20"/>
          <w:szCs w:val="20"/>
        </w:rPr>
        <w:t xml:space="preserve"> to help finance affordable housing.</w:t>
      </w:r>
    </w:p>
    <w:p w14:paraId="55A3212F" w14:textId="3A10E847" w:rsidR="00E82F90" w:rsidRPr="00B05638" w:rsidRDefault="00B05638" w:rsidP="00B0563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E82F90" w:rsidRPr="00B05638">
        <w:rPr>
          <w:rFonts w:asciiTheme="majorHAnsi" w:hAnsiTheme="majorHAnsi"/>
          <w:sz w:val="20"/>
          <w:szCs w:val="20"/>
        </w:rPr>
        <w:t>rovid</w:t>
      </w:r>
      <w:r>
        <w:rPr>
          <w:rFonts w:asciiTheme="majorHAnsi" w:hAnsiTheme="majorHAnsi"/>
          <w:sz w:val="20"/>
          <w:szCs w:val="20"/>
        </w:rPr>
        <w:t>e</w:t>
      </w:r>
      <w:r w:rsidR="00E82F90" w:rsidRPr="00B05638">
        <w:rPr>
          <w:rFonts w:asciiTheme="majorHAnsi" w:hAnsiTheme="majorHAnsi"/>
          <w:sz w:val="20"/>
          <w:szCs w:val="20"/>
        </w:rPr>
        <w:t xml:space="preserve"> affordable housing for the County’s</w:t>
      </w:r>
      <w:r w:rsidR="00C20930" w:rsidRPr="00B05638">
        <w:rPr>
          <w:rFonts w:asciiTheme="majorHAnsi" w:hAnsiTheme="majorHAnsi"/>
          <w:sz w:val="20"/>
          <w:szCs w:val="20"/>
        </w:rPr>
        <w:t xml:space="preserve"> </w:t>
      </w:r>
      <w:r w:rsidRPr="00B05638">
        <w:rPr>
          <w:rFonts w:asciiTheme="majorHAnsi" w:hAnsiTheme="majorHAnsi"/>
          <w:sz w:val="20"/>
          <w:szCs w:val="20"/>
        </w:rPr>
        <w:t>2017-2018 reported 5</w:t>
      </w:r>
      <w:r w:rsidR="00E82F90" w:rsidRPr="00B05638">
        <w:rPr>
          <w:rFonts w:asciiTheme="majorHAnsi" w:hAnsiTheme="majorHAnsi"/>
          <w:sz w:val="20"/>
          <w:szCs w:val="20"/>
        </w:rPr>
        <w:t>4</w:t>
      </w:r>
      <w:r w:rsidRPr="00B05638">
        <w:rPr>
          <w:rFonts w:asciiTheme="majorHAnsi" w:hAnsiTheme="majorHAnsi"/>
          <w:sz w:val="20"/>
          <w:szCs w:val="20"/>
        </w:rPr>
        <w:t>0</w:t>
      </w:r>
      <w:r w:rsidR="00E82F90" w:rsidRPr="00B05638">
        <w:rPr>
          <w:rFonts w:asciiTheme="majorHAnsi" w:hAnsiTheme="majorHAnsi"/>
          <w:sz w:val="20"/>
          <w:szCs w:val="20"/>
        </w:rPr>
        <w:t xml:space="preserve"> homeless students enrolled in the </w:t>
      </w:r>
      <w:r w:rsidR="00CC14B2" w:rsidRPr="00B05638">
        <w:rPr>
          <w:rFonts w:asciiTheme="majorHAnsi" w:hAnsiTheme="majorHAnsi"/>
          <w:sz w:val="20"/>
          <w:szCs w:val="20"/>
        </w:rPr>
        <w:t>public-school</w:t>
      </w:r>
      <w:r w:rsidR="00E82F90" w:rsidRPr="00B05638">
        <w:rPr>
          <w:rFonts w:asciiTheme="majorHAnsi" w:hAnsiTheme="majorHAnsi"/>
          <w:sz w:val="20"/>
          <w:szCs w:val="20"/>
        </w:rPr>
        <w:t xml:space="preserve"> system, which</w:t>
      </w:r>
    </w:p>
    <w:p w14:paraId="6E3CFCCF" w14:textId="77777777" w:rsidR="00E82F90" w:rsidRPr="00C20930" w:rsidRDefault="00E82F90" w:rsidP="00E82F90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Wouldn’t add to the existing school capacity</w:t>
      </w:r>
    </w:p>
    <w:p w14:paraId="34BB9141" w14:textId="77777777" w:rsidR="00E82F90" w:rsidRPr="00C20930" w:rsidRDefault="00E82F90" w:rsidP="00E82F90">
      <w:pPr>
        <w:pStyle w:val="ListParagraph"/>
        <w:numPr>
          <w:ilvl w:val="2"/>
          <w:numId w:val="4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Could help improve overall school performance</w:t>
      </w:r>
    </w:p>
    <w:p w14:paraId="7BA33B64" w14:textId="402A6CA8" w:rsidR="00B05638" w:rsidRDefault="00B05638">
      <w:pPr>
        <w:rPr>
          <w:rFonts w:asciiTheme="majorHAnsi" w:hAnsiTheme="majorHAnsi"/>
          <w:b/>
          <w:sz w:val="20"/>
          <w:szCs w:val="20"/>
        </w:rPr>
      </w:pPr>
    </w:p>
    <w:p w14:paraId="28E35B8B" w14:textId="77777777" w:rsidR="00544D10" w:rsidRDefault="00544D10">
      <w:pPr>
        <w:rPr>
          <w:rFonts w:asciiTheme="majorHAnsi" w:hAnsiTheme="majorHAnsi"/>
          <w:b/>
          <w:sz w:val="20"/>
          <w:szCs w:val="20"/>
        </w:rPr>
      </w:pPr>
    </w:p>
    <w:p w14:paraId="567C1DD9" w14:textId="1241A6A8" w:rsidR="00B05638" w:rsidRPr="00B05638" w:rsidRDefault="00B05638" w:rsidP="00B0563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State</w:t>
      </w:r>
      <w:r w:rsidRPr="00B05638">
        <w:rPr>
          <w:rFonts w:asciiTheme="majorHAnsi" w:hAnsiTheme="majorHAnsi"/>
          <w:b/>
          <w:sz w:val="20"/>
          <w:szCs w:val="20"/>
        </w:rPr>
        <w:t>-Level</w:t>
      </w:r>
    </w:p>
    <w:p w14:paraId="7DDB2737" w14:textId="252E613D" w:rsidR="00B05638" w:rsidRPr="00C20930" w:rsidRDefault="00B05638" w:rsidP="00B0563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 xml:space="preserve">Expand development </w:t>
      </w:r>
      <w:r>
        <w:rPr>
          <w:rFonts w:asciiTheme="majorHAnsi" w:hAnsiTheme="majorHAnsi"/>
          <w:sz w:val="20"/>
          <w:szCs w:val="20"/>
        </w:rPr>
        <w:t xml:space="preserve">fees, excise taxes and transfer taxes </w:t>
      </w:r>
      <w:r w:rsidRPr="00C20930">
        <w:rPr>
          <w:rFonts w:asciiTheme="majorHAnsi" w:hAnsiTheme="majorHAnsi"/>
          <w:sz w:val="20"/>
          <w:szCs w:val="20"/>
        </w:rPr>
        <w:t xml:space="preserve">to </w:t>
      </w:r>
      <w:r>
        <w:rPr>
          <w:rFonts w:asciiTheme="majorHAnsi" w:hAnsiTheme="majorHAnsi"/>
          <w:sz w:val="20"/>
          <w:szCs w:val="20"/>
        </w:rPr>
        <w:t>help finance local needs, including affordable housing</w:t>
      </w:r>
    </w:p>
    <w:p w14:paraId="23611641" w14:textId="6FDD2782" w:rsidR="00622529" w:rsidRDefault="00B0563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5E9F8711" w14:textId="77777777" w:rsidR="00FF1F7E" w:rsidRPr="00C20930" w:rsidRDefault="00E82F90" w:rsidP="00FF1F7E">
      <w:pPr>
        <w:rPr>
          <w:rFonts w:asciiTheme="majorHAnsi" w:hAnsiTheme="majorHAnsi"/>
          <w:b/>
          <w:sz w:val="20"/>
          <w:szCs w:val="20"/>
        </w:rPr>
      </w:pPr>
      <w:r w:rsidRPr="00C20930">
        <w:rPr>
          <w:rFonts w:asciiTheme="majorHAnsi" w:hAnsiTheme="majorHAnsi"/>
          <w:b/>
          <w:sz w:val="20"/>
          <w:szCs w:val="20"/>
        </w:rPr>
        <w:t xml:space="preserve">Policy Issue #3:  </w:t>
      </w:r>
      <w:r w:rsidR="00F97B33" w:rsidRPr="00C20930">
        <w:rPr>
          <w:rFonts w:asciiTheme="majorHAnsi" w:hAnsiTheme="majorHAnsi"/>
          <w:b/>
          <w:sz w:val="20"/>
          <w:szCs w:val="20"/>
        </w:rPr>
        <w:t xml:space="preserve">The lack of affordable housing contributes to homelessness in the County. </w:t>
      </w:r>
    </w:p>
    <w:p w14:paraId="290D6DA5" w14:textId="77777777" w:rsidR="00FF1F7E" w:rsidRPr="00C20930" w:rsidRDefault="00FF1F7E" w:rsidP="00FF1F7E">
      <w:pPr>
        <w:rPr>
          <w:rFonts w:asciiTheme="majorHAnsi" w:hAnsiTheme="majorHAnsi"/>
          <w:sz w:val="20"/>
          <w:szCs w:val="20"/>
        </w:rPr>
      </w:pPr>
    </w:p>
    <w:p w14:paraId="03341DF3" w14:textId="77777777" w:rsidR="00FF1F7E" w:rsidRPr="00C20930" w:rsidRDefault="00E82F90" w:rsidP="00E82F90">
      <w:pPr>
        <w:rPr>
          <w:rFonts w:asciiTheme="majorHAnsi" w:hAnsiTheme="majorHAnsi"/>
          <w:i/>
          <w:sz w:val="20"/>
          <w:szCs w:val="20"/>
        </w:rPr>
      </w:pPr>
      <w:r w:rsidRPr="00C20930">
        <w:rPr>
          <w:rFonts w:asciiTheme="majorHAnsi" w:hAnsiTheme="majorHAnsi"/>
          <w:i/>
          <w:sz w:val="20"/>
          <w:szCs w:val="20"/>
        </w:rPr>
        <w:t>Background</w:t>
      </w:r>
    </w:p>
    <w:p w14:paraId="016D9FF0" w14:textId="6928172F" w:rsidR="00622529" w:rsidRDefault="0029610E" w:rsidP="00E82F90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22529">
        <w:rPr>
          <w:rFonts w:asciiTheme="majorHAnsi" w:hAnsiTheme="majorHAnsi"/>
          <w:sz w:val="20"/>
          <w:szCs w:val="20"/>
        </w:rPr>
        <w:t>On any given day there are at least 170 homeless people living in Howard County and over 200 resident households are experiencing housing instability and at risk of becoming homeless</w:t>
      </w:r>
      <w:r w:rsidR="00CC14B2">
        <w:rPr>
          <w:rFonts w:asciiTheme="majorHAnsi" w:hAnsiTheme="majorHAnsi"/>
          <w:sz w:val="20"/>
          <w:szCs w:val="20"/>
        </w:rPr>
        <w:t>.</w:t>
      </w:r>
      <w:r w:rsidRPr="00622529">
        <w:rPr>
          <w:rFonts w:asciiTheme="majorHAnsi" w:hAnsiTheme="majorHAnsi"/>
          <w:sz w:val="20"/>
          <w:szCs w:val="20"/>
        </w:rPr>
        <w:t xml:space="preserve"> </w:t>
      </w:r>
      <w:r w:rsidRPr="00622529">
        <w:rPr>
          <w:rFonts w:asciiTheme="majorHAnsi" w:hAnsiTheme="majorHAnsi"/>
          <w:i/>
          <w:sz w:val="20"/>
          <w:szCs w:val="20"/>
        </w:rPr>
        <w:t xml:space="preserve"> </w:t>
      </w:r>
      <w:r w:rsidR="00622529">
        <w:rPr>
          <w:rFonts w:asciiTheme="majorHAnsi" w:hAnsiTheme="majorHAnsi"/>
          <w:sz w:val="20"/>
          <w:szCs w:val="20"/>
        </w:rPr>
        <w:t>About</w:t>
      </w:r>
    </w:p>
    <w:p w14:paraId="659D778E" w14:textId="77777777" w:rsidR="00622529" w:rsidRDefault="0029610E" w:rsidP="00622529">
      <w:pPr>
        <w:pStyle w:val="ListParagraph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 w:rsidRPr="00622529">
        <w:rPr>
          <w:rFonts w:asciiTheme="majorHAnsi" w:hAnsiTheme="majorHAnsi"/>
          <w:sz w:val="20"/>
          <w:szCs w:val="20"/>
        </w:rPr>
        <w:t xml:space="preserve">85% of County households experiencing homelessness or significant housing instability are households that are situationally homeless (homeless on a temporary short-term basis) due to adverse events, such as a loss of income, sudden expenses (particularly medical), temporary disability, abandonment by a partner, fleeing from domestic violence, or some combination of the above. </w:t>
      </w:r>
    </w:p>
    <w:p w14:paraId="65006A5B" w14:textId="77777777" w:rsidR="00622529" w:rsidRDefault="00622529" w:rsidP="00622529">
      <w:pPr>
        <w:pStyle w:val="ListParagraph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29610E" w:rsidRPr="00622529">
        <w:rPr>
          <w:rFonts w:asciiTheme="majorHAnsi" w:hAnsiTheme="majorHAnsi"/>
          <w:sz w:val="20"/>
          <w:szCs w:val="20"/>
        </w:rPr>
        <w:t>5% are chronically (long term) homeless, often suffering from addictions or mental illness.</w:t>
      </w:r>
    </w:p>
    <w:p w14:paraId="5BFD01BE" w14:textId="77777777" w:rsidR="00622529" w:rsidRDefault="00622529" w:rsidP="00622529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22529">
        <w:rPr>
          <w:rFonts w:asciiTheme="majorHAnsi" w:hAnsiTheme="majorHAnsi"/>
          <w:sz w:val="20"/>
          <w:szCs w:val="20"/>
        </w:rPr>
        <w:t xml:space="preserve">Existing resources available seem insufficient to achieve the goal of ending homelessness in Howard County.  </w:t>
      </w:r>
    </w:p>
    <w:p w14:paraId="1438CA51" w14:textId="77777777" w:rsidR="00622529" w:rsidRPr="00622529" w:rsidRDefault="00622529" w:rsidP="00622529">
      <w:pPr>
        <w:pStyle w:val="ListParagraph"/>
        <w:numPr>
          <w:ilvl w:val="1"/>
          <w:numId w:val="12"/>
        </w:numPr>
        <w:rPr>
          <w:rFonts w:asciiTheme="majorHAnsi" w:hAnsiTheme="majorHAnsi"/>
          <w:sz w:val="20"/>
          <w:szCs w:val="20"/>
        </w:rPr>
      </w:pPr>
      <w:r w:rsidRPr="00622529">
        <w:rPr>
          <w:rFonts w:asciiTheme="majorHAnsi" w:hAnsiTheme="majorHAnsi"/>
          <w:sz w:val="20"/>
          <w:szCs w:val="20"/>
        </w:rPr>
        <w:t>Of the 857 households referred to CSHS in the fiscal year ending June 30, 2018, only 520 received services.</w:t>
      </w:r>
    </w:p>
    <w:p w14:paraId="61B6354E" w14:textId="77777777" w:rsidR="0029610E" w:rsidRPr="00622529" w:rsidRDefault="0029610E" w:rsidP="00622529">
      <w:pPr>
        <w:rPr>
          <w:rFonts w:asciiTheme="majorHAnsi" w:hAnsiTheme="majorHAnsi"/>
          <w:sz w:val="20"/>
          <w:szCs w:val="20"/>
        </w:rPr>
      </w:pPr>
      <w:r w:rsidRPr="00622529">
        <w:rPr>
          <w:rFonts w:asciiTheme="majorHAnsi" w:hAnsiTheme="majorHAnsi"/>
          <w:sz w:val="20"/>
          <w:szCs w:val="20"/>
        </w:rPr>
        <w:t xml:space="preserve">  </w:t>
      </w:r>
    </w:p>
    <w:p w14:paraId="600EEA7E" w14:textId="713603C1" w:rsidR="000A21B6" w:rsidRPr="00C20930" w:rsidRDefault="00E82F90" w:rsidP="00C20930">
      <w:pPr>
        <w:pStyle w:val="ListParagraph"/>
        <w:ind w:left="0"/>
        <w:rPr>
          <w:rFonts w:asciiTheme="majorHAnsi" w:hAnsiTheme="majorHAnsi"/>
          <w:i/>
          <w:sz w:val="20"/>
          <w:szCs w:val="20"/>
        </w:rPr>
      </w:pPr>
      <w:r w:rsidRPr="00C20930">
        <w:rPr>
          <w:rFonts w:asciiTheme="majorHAnsi" w:hAnsiTheme="majorHAnsi"/>
          <w:i/>
          <w:sz w:val="20"/>
          <w:szCs w:val="20"/>
        </w:rPr>
        <w:t xml:space="preserve">Policy opportunities to address </w:t>
      </w:r>
      <w:r w:rsidR="00C20930" w:rsidRPr="00C20930">
        <w:rPr>
          <w:rFonts w:asciiTheme="majorHAnsi" w:hAnsiTheme="majorHAnsi"/>
          <w:i/>
          <w:sz w:val="20"/>
          <w:szCs w:val="20"/>
        </w:rPr>
        <w:t>issue</w:t>
      </w:r>
      <w:r w:rsidR="009A2A20">
        <w:rPr>
          <w:rFonts w:asciiTheme="majorHAnsi" w:hAnsiTheme="majorHAnsi"/>
          <w:i/>
          <w:sz w:val="20"/>
          <w:szCs w:val="20"/>
        </w:rPr>
        <w:t xml:space="preserve"> </w:t>
      </w:r>
    </w:p>
    <w:p w14:paraId="3746C661" w14:textId="0BF37F23" w:rsidR="00194026" w:rsidRPr="00C20930" w:rsidRDefault="00194026" w:rsidP="00E82F90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Fully-fund the soon-to-be u</w:t>
      </w:r>
      <w:r w:rsidR="000A63F3" w:rsidRPr="00C20930">
        <w:rPr>
          <w:rFonts w:asciiTheme="majorHAnsi" w:hAnsiTheme="majorHAnsi"/>
          <w:sz w:val="20"/>
          <w:szCs w:val="20"/>
        </w:rPr>
        <w:t>pdate</w:t>
      </w:r>
      <w:r w:rsidRPr="00C20930">
        <w:rPr>
          <w:rFonts w:asciiTheme="majorHAnsi" w:hAnsiTheme="majorHAnsi"/>
          <w:sz w:val="20"/>
          <w:szCs w:val="20"/>
        </w:rPr>
        <w:t>d</w:t>
      </w:r>
      <w:r w:rsidR="000A63F3" w:rsidRPr="00C20930">
        <w:rPr>
          <w:rFonts w:asciiTheme="majorHAnsi" w:hAnsiTheme="majorHAnsi"/>
          <w:sz w:val="20"/>
          <w:szCs w:val="20"/>
        </w:rPr>
        <w:t xml:space="preserve"> Plan to </w:t>
      </w:r>
      <w:r w:rsidRPr="00C20930">
        <w:rPr>
          <w:rFonts w:asciiTheme="majorHAnsi" w:hAnsiTheme="majorHAnsi"/>
          <w:sz w:val="20"/>
          <w:szCs w:val="20"/>
        </w:rPr>
        <w:t>E</w:t>
      </w:r>
      <w:r w:rsidR="000A63F3" w:rsidRPr="00C20930">
        <w:rPr>
          <w:rFonts w:asciiTheme="majorHAnsi" w:hAnsiTheme="majorHAnsi"/>
          <w:sz w:val="20"/>
          <w:szCs w:val="20"/>
        </w:rPr>
        <w:t>nd Homelessness (</w:t>
      </w:r>
      <w:r w:rsidR="00607F7F">
        <w:rPr>
          <w:rFonts w:asciiTheme="majorHAnsi" w:hAnsiTheme="majorHAnsi"/>
          <w:sz w:val="20"/>
          <w:szCs w:val="20"/>
        </w:rPr>
        <w:t>originally adopted in 2011)</w:t>
      </w:r>
    </w:p>
    <w:p w14:paraId="31355294" w14:textId="77777777" w:rsidR="00194026" w:rsidRPr="00C20930" w:rsidRDefault="000A63F3" w:rsidP="00E82F90">
      <w:pPr>
        <w:ind w:left="720"/>
        <w:rPr>
          <w:rFonts w:asciiTheme="majorHAnsi" w:hAnsiTheme="majorHAnsi"/>
          <w:sz w:val="20"/>
          <w:szCs w:val="20"/>
        </w:rPr>
      </w:pPr>
      <w:r w:rsidRPr="00C20930">
        <w:rPr>
          <w:rFonts w:asciiTheme="majorHAnsi" w:hAnsiTheme="majorHAnsi"/>
          <w:sz w:val="20"/>
          <w:szCs w:val="20"/>
        </w:rPr>
        <w:t>An update to the Plan is underway and expected to be presented in November</w:t>
      </w:r>
      <w:r w:rsidR="00194026" w:rsidRPr="00C20930">
        <w:rPr>
          <w:rFonts w:asciiTheme="majorHAnsi" w:hAnsiTheme="majorHAnsi"/>
          <w:sz w:val="20"/>
          <w:szCs w:val="20"/>
        </w:rPr>
        <w:t xml:space="preserve"> 2018 </w:t>
      </w:r>
      <w:r w:rsidRPr="00C20930">
        <w:rPr>
          <w:rFonts w:asciiTheme="majorHAnsi" w:hAnsiTheme="majorHAnsi"/>
          <w:sz w:val="20"/>
          <w:szCs w:val="20"/>
        </w:rPr>
        <w:t xml:space="preserve">   </w:t>
      </w:r>
    </w:p>
    <w:p w14:paraId="65ADBB59" w14:textId="77777777" w:rsidR="009134D3" w:rsidRPr="00C20930" w:rsidRDefault="009134D3" w:rsidP="009134D3">
      <w:pPr>
        <w:jc w:val="center"/>
        <w:rPr>
          <w:rFonts w:asciiTheme="majorHAnsi" w:hAnsiTheme="majorHAnsi"/>
          <w:sz w:val="20"/>
          <w:szCs w:val="20"/>
        </w:rPr>
      </w:pPr>
    </w:p>
    <w:p w14:paraId="54F93F64" w14:textId="77777777" w:rsidR="00C20930" w:rsidRPr="00C20930" w:rsidRDefault="00C20930" w:rsidP="00E82F90">
      <w:pPr>
        <w:rPr>
          <w:rFonts w:asciiTheme="majorHAnsi" w:hAnsiTheme="majorHAnsi"/>
          <w:b/>
          <w:sz w:val="20"/>
          <w:szCs w:val="20"/>
        </w:rPr>
      </w:pPr>
    </w:p>
    <w:p w14:paraId="7901B50B" w14:textId="77777777" w:rsidR="00E82F90" w:rsidRPr="00C20930" w:rsidRDefault="00622529" w:rsidP="00E82F9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(Sources) and Additional </w:t>
      </w:r>
      <w:r w:rsidR="00E82F90" w:rsidRPr="00C20930">
        <w:rPr>
          <w:rFonts w:asciiTheme="majorHAnsi" w:hAnsiTheme="majorHAnsi"/>
          <w:b/>
          <w:sz w:val="20"/>
          <w:szCs w:val="20"/>
        </w:rPr>
        <w:t>Background Resources</w:t>
      </w:r>
    </w:p>
    <w:p w14:paraId="518B5F68" w14:textId="77777777" w:rsidR="00E82F90" w:rsidRPr="00C20930" w:rsidRDefault="00E82F90" w:rsidP="00E82F90">
      <w:pPr>
        <w:rPr>
          <w:rFonts w:asciiTheme="majorHAnsi" w:hAnsiTheme="majorHAnsi"/>
          <w:sz w:val="20"/>
          <w:szCs w:val="20"/>
        </w:rPr>
      </w:pPr>
    </w:p>
    <w:p w14:paraId="6AD7EEB9" w14:textId="68D12E12" w:rsidR="00C20930" w:rsidRDefault="00C20930" w:rsidP="00544D10">
      <w:pPr>
        <w:pStyle w:val="ListParagraph"/>
        <w:numPr>
          <w:ilvl w:val="0"/>
          <w:numId w:val="14"/>
        </w:numPr>
        <w:rPr>
          <w:rFonts w:asciiTheme="majorHAnsi" w:hAnsiTheme="majorHAnsi"/>
          <w:color w:val="FF0000"/>
          <w:sz w:val="20"/>
          <w:szCs w:val="20"/>
        </w:rPr>
      </w:pPr>
      <w:r w:rsidRPr="009A2A20">
        <w:rPr>
          <w:rFonts w:asciiTheme="majorHAnsi" w:hAnsiTheme="majorHAnsi"/>
          <w:sz w:val="20"/>
          <w:szCs w:val="20"/>
        </w:rPr>
        <w:t>Howard County Housing Commission’s</w:t>
      </w:r>
      <w:r w:rsidR="009A2A20">
        <w:rPr>
          <w:rFonts w:asciiTheme="majorHAnsi" w:hAnsiTheme="majorHAnsi"/>
          <w:sz w:val="20"/>
          <w:szCs w:val="20"/>
        </w:rPr>
        <w:t xml:space="preserve"> </w:t>
      </w:r>
      <w:r w:rsidR="009A2A20" w:rsidRPr="009A2A20">
        <w:rPr>
          <w:rFonts w:asciiTheme="majorHAnsi" w:hAnsiTheme="majorHAnsi"/>
          <w:i/>
          <w:sz w:val="20"/>
          <w:szCs w:val="20"/>
        </w:rPr>
        <w:t>2014</w:t>
      </w:r>
      <w:r w:rsidRPr="009A2A20">
        <w:rPr>
          <w:rFonts w:asciiTheme="majorHAnsi" w:hAnsiTheme="majorHAnsi"/>
          <w:i/>
          <w:sz w:val="20"/>
          <w:szCs w:val="20"/>
        </w:rPr>
        <w:t xml:space="preserve"> </w:t>
      </w:r>
      <w:r w:rsidRPr="00A97DAD">
        <w:rPr>
          <w:rFonts w:asciiTheme="majorHAnsi" w:hAnsiTheme="majorHAnsi"/>
          <w:i/>
          <w:sz w:val="20"/>
          <w:szCs w:val="20"/>
        </w:rPr>
        <w:t xml:space="preserve">Rental Market </w:t>
      </w:r>
      <w:r w:rsidR="00B000AA">
        <w:rPr>
          <w:rFonts w:asciiTheme="majorHAnsi" w:hAnsiTheme="majorHAnsi"/>
          <w:i/>
          <w:sz w:val="20"/>
          <w:szCs w:val="20"/>
        </w:rPr>
        <w:t>Survey</w:t>
      </w:r>
      <w:r w:rsidR="00AD15FC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544D10" w:rsidRPr="00851785">
          <w:rPr>
            <w:rStyle w:val="Hyperlink"/>
            <w:rFonts w:asciiTheme="majorHAnsi" w:hAnsiTheme="majorHAnsi"/>
            <w:sz w:val="20"/>
            <w:szCs w:val="20"/>
          </w:rPr>
          <w:t>https://drive.google.com/file/d/0BzQNHs4E8z0vTXpHSFNjZXNKSUU/view</w:t>
        </w:r>
      </w:hyperlink>
    </w:p>
    <w:p w14:paraId="2C2DBD8A" w14:textId="11C223A4" w:rsidR="00544D10" w:rsidRPr="00544D10" w:rsidRDefault="00AD15FC" w:rsidP="00544D10">
      <w:pPr>
        <w:pStyle w:val="ListParagraph"/>
        <w:numPr>
          <w:ilvl w:val="0"/>
          <w:numId w:val="14"/>
        </w:numPr>
        <w:ind w:right="-630"/>
        <w:rPr>
          <w:rFonts w:asciiTheme="majorHAnsi" w:hAnsiTheme="majorHAnsi"/>
          <w:sz w:val="20"/>
          <w:szCs w:val="20"/>
        </w:rPr>
      </w:pPr>
      <w:r w:rsidRPr="00544D10">
        <w:rPr>
          <w:rFonts w:asciiTheme="majorHAnsi" w:hAnsiTheme="majorHAnsi"/>
          <w:sz w:val="20"/>
          <w:szCs w:val="20"/>
        </w:rPr>
        <w:t xml:space="preserve">National Low Income Housing Coalition’s </w:t>
      </w:r>
      <w:r w:rsidRPr="00544D10">
        <w:rPr>
          <w:rFonts w:asciiTheme="majorHAnsi" w:hAnsiTheme="majorHAnsi"/>
          <w:i/>
          <w:sz w:val="20"/>
          <w:szCs w:val="20"/>
        </w:rPr>
        <w:t>Out of Reach 2018 Report</w:t>
      </w:r>
      <w:r w:rsidRPr="00544D10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="00544D10" w:rsidRPr="00851785">
          <w:rPr>
            <w:rStyle w:val="Hyperlink"/>
            <w:rFonts w:asciiTheme="majorHAnsi" w:hAnsiTheme="majorHAnsi"/>
            <w:sz w:val="20"/>
            <w:szCs w:val="20"/>
          </w:rPr>
          <w:t>http://nlihc.org/oor/maryland</w:t>
        </w:r>
      </w:hyperlink>
    </w:p>
    <w:p w14:paraId="60D4EC8C" w14:textId="3EBAD1CC" w:rsidR="00C20930" w:rsidRPr="00544D10" w:rsidRDefault="00BC1E48" w:rsidP="00544D10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544D10">
        <w:rPr>
          <w:rFonts w:asciiTheme="majorHAnsi" w:hAnsiTheme="majorHAnsi"/>
          <w:sz w:val="20"/>
          <w:szCs w:val="20"/>
        </w:rPr>
        <w:t xml:space="preserve">Howard County District Court records as reported in the </w:t>
      </w:r>
      <w:r w:rsidR="00C20930" w:rsidRPr="00544D10">
        <w:rPr>
          <w:rFonts w:asciiTheme="majorHAnsi" w:hAnsiTheme="majorHAnsi"/>
          <w:sz w:val="20"/>
          <w:szCs w:val="20"/>
        </w:rPr>
        <w:t xml:space="preserve">Association of Community Services of Howard County’s </w:t>
      </w:r>
      <w:r w:rsidR="00C20930" w:rsidRPr="00544D10">
        <w:rPr>
          <w:rFonts w:asciiTheme="majorHAnsi" w:hAnsiTheme="majorHAnsi"/>
          <w:i/>
          <w:sz w:val="20"/>
          <w:szCs w:val="20"/>
        </w:rPr>
        <w:t>2018 Self-Sufficiency Indicators Report</w:t>
      </w:r>
      <w:r w:rsidR="00C20930" w:rsidRPr="00544D10">
        <w:rPr>
          <w:rFonts w:asciiTheme="majorHAnsi" w:hAnsiTheme="majorHAnsi"/>
          <w:sz w:val="20"/>
          <w:szCs w:val="20"/>
        </w:rPr>
        <w:t xml:space="preserve"> </w:t>
      </w:r>
      <w:r w:rsidR="00C20930" w:rsidRPr="00544D10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11" w:history="1">
        <w:r w:rsidR="00544D10" w:rsidRPr="00851785">
          <w:rPr>
            <w:rStyle w:val="Hyperlink"/>
            <w:rFonts w:asciiTheme="majorHAnsi" w:hAnsiTheme="majorHAnsi"/>
            <w:sz w:val="20"/>
            <w:szCs w:val="20"/>
          </w:rPr>
          <w:t>https://acshoco.org/SSIR2017</w:t>
        </w:r>
      </w:hyperlink>
    </w:p>
    <w:p w14:paraId="6383A5FA" w14:textId="77777777" w:rsidR="00A97DAD" w:rsidRPr="00544D10" w:rsidRDefault="00A97DAD" w:rsidP="00A97DAD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544D10">
        <w:rPr>
          <w:rFonts w:asciiTheme="majorHAnsi" w:hAnsiTheme="majorHAnsi"/>
          <w:sz w:val="20"/>
          <w:szCs w:val="20"/>
        </w:rPr>
        <w:t>2018 Howard County Public School System data</w:t>
      </w:r>
    </w:p>
    <w:p w14:paraId="4C834FF8" w14:textId="1879BC21" w:rsidR="00BC1E48" w:rsidRPr="00B000AA" w:rsidRDefault="00BC1E48" w:rsidP="00B000AA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544D10">
        <w:rPr>
          <w:rFonts w:asciiTheme="majorHAnsi" w:hAnsiTheme="majorHAnsi"/>
          <w:sz w:val="20"/>
          <w:szCs w:val="20"/>
        </w:rPr>
        <w:t xml:space="preserve">2016 Census Bureau </w:t>
      </w:r>
      <w:r w:rsidRPr="00B000AA">
        <w:rPr>
          <w:rFonts w:asciiTheme="majorHAnsi" w:hAnsiTheme="majorHAnsi"/>
          <w:i/>
          <w:sz w:val="20"/>
          <w:szCs w:val="20"/>
        </w:rPr>
        <w:t>American Community Survey</w:t>
      </w:r>
      <w:r w:rsidR="00622529" w:rsidRPr="00B000AA">
        <w:rPr>
          <w:rFonts w:asciiTheme="majorHAnsi" w:hAnsiTheme="majorHAnsi"/>
          <w:i/>
          <w:sz w:val="20"/>
          <w:szCs w:val="20"/>
        </w:rPr>
        <w:t xml:space="preserve"> </w:t>
      </w:r>
      <w:r w:rsidR="00B000AA" w:rsidRPr="00B000AA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  <w:hyperlink r:id="rId12" w:history="1">
        <w:r w:rsidR="00B000AA" w:rsidRPr="00851785">
          <w:rPr>
            <w:rStyle w:val="Hyperlink"/>
            <w:rFonts w:asciiTheme="majorHAnsi" w:hAnsiTheme="majorHAnsi"/>
            <w:sz w:val="20"/>
            <w:szCs w:val="20"/>
          </w:rPr>
          <w:t>https://data.census.gov/cedsci/geoprofile?q=Howard%20County,%20Maryland&amp;g=0500000US24027&amp;ps=search*suggestions@false</w:t>
        </w:r>
      </w:hyperlink>
    </w:p>
    <w:p w14:paraId="649FC95D" w14:textId="7FE5E7D8" w:rsidR="00AD15FC" w:rsidRDefault="00AD15FC" w:rsidP="00B000AA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544D10">
        <w:rPr>
          <w:rFonts w:asciiTheme="majorHAnsi" w:hAnsiTheme="majorHAnsi"/>
          <w:sz w:val="20"/>
          <w:szCs w:val="20"/>
        </w:rPr>
        <w:t xml:space="preserve">FY19 </w:t>
      </w:r>
      <w:r w:rsidR="00003568">
        <w:rPr>
          <w:rFonts w:asciiTheme="majorHAnsi" w:hAnsiTheme="majorHAnsi"/>
          <w:sz w:val="20"/>
          <w:szCs w:val="20"/>
        </w:rPr>
        <w:t xml:space="preserve">Howard County </w:t>
      </w:r>
      <w:r w:rsidRPr="00544D10">
        <w:rPr>
          <w:rFonts w:asciiTheme="majorHAnsi" w:hAnsiTheme="majorHAnsi"/>
          <w:sz w:val="20"/>
          <w:szCs w:val="20"/>
        </w:rPr>
        <w:t>Spending Affordability Committee Report</w:t>
      </w:r>
      <w:r w:rsidR="00B000AA">
        <w:rPr>
          <w:rFonts w:asciiTheme="majorHAnsi" w:hAnsiTheme="majorHAnsi"/>
          <w:sz w:val="20"/>
          <w:szCs w:val="20"/>
        </w:rPr>
        <w:t xml:space="preserve"> </w:t>
      </w:r>
      <w:hyperlink r:id="rId13" w:history="1">
        <w:r w:rsidR="00B000AA" w:rsidRPr="00851785">
          <w:rPr>
            <w:rStyle w:val="Hyperlink"/>
            <w:rFonts w:asciiTheme="majorHAnsi" w:hAnsiTheme="majorHAnsi"/>
            <w:sz w:val="20"/>
            <w:szCs w:val="20"/>
          </w:rPr>
          <w:t>https://cc.howardcountymd.gov/Portals/0/Documents/Budget/FY2019/SAAC%20Report%20FY%202019%20Final.pdf</w:t>
        </w:r>
      </w:hyperlink>
    </w:p>
    <w:p w14:paraId="60FCE0AE" w14:textId="77777777" w:rsidR="00BC1E48" w:rsidRPr="00544D10" w:rsidRDefault="00622529" w:rsidP="00AD15FC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544D10">
        <w:rPr>
          <w:rFonts w:asciiTheme="majorHAnsi" w:hAnsiTheme="majorHAnsi"/>
          <w:sz w:val="20"/>
          <w:szCs w:val="20"/>
        </w:rPr>
        <w:t>August 2018 Mary</w:t>
      </w:r>
      <w:r w:rsidR="00BC1E48" w:rsidRPr="00544D10">
        <w:rPr>
          <w:rFonts w:asciiTheme="majorHAnsi" w:hAnsiTheme="majorHAnsi"/>
          <w:sz w:val="20"/>
          <w:szCs w:val="20"/>
        </w:rPr>
        <w:t>land Department of Disabilities data</w:t>
      </w:r>
    </w:p>
    <w:p w14:paraId="604462A1" w14:textId="77777777" w:rsidR="00622529" w:rsidRPr="00544D10" w:rsidRDefault="00622529" w:rsidP="00622529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544D10">
        <w:rPr>
          <w:rFonts w:asciiTheme="majorHAnsi" w:hAnsiTheme="majorHAnsi"/>
          <w:sz w:val="20"/>
          <w:szCs w:val="20"/>
        </w:rPr>
        <w:t>2018 Howard County’s Coordinated System of Homeless Services’ Homeless Management Information System (HMIS) data</w:t>
      </w:r>
    </w:p>
    <w:p w14:paraId="3A889826" w14:textId="77777777" w:rsidR="00622529" w:rsidRPr="00544D10" w:rsidRDefault="00622529" w:rsidP="00622529">
      <w:pPr>
        <w:ind w:left="360"/>
        <w:rPr>
          <w:rFonts w:asciiTheme="majorHAnsi" w:hAnsiTheme="majorHAnsi"/>
          <w:sz w:val="20"/>
          <w:szCs w:val="20"/>
        </w:rPr>
      </w:pPr>
    </w:p>
    <w:p w14:paraId="2541C598" w14:textId="77777777" w:rsidR="00C20930" w:rsidRPr="00544D10" w:rsidRDefault="00C20930" w:rsidP="00BC1E48">
      <w:pPr>
        <w:ind w:left="360"/>
        <w:rPr>
          <w:rFonts w:asciiTheme="majorHAnsi" w:hAnsiTheme="majorHAnsi"/>
          <w:sz w:val="20"/>
          <w:szCs w:val="20"/>
        </w:rPr>
      </w:pPr>
    </w:p>
    <w:sectPr w:rsidR="00C20930" w:rsidRPr="00544D10" w:rsidSect="005107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E5E6" w14:textId="77777777" w:rsidR="00830926" w:rsidRDefault="00830926" w:rsidP="00C20930">
      <w:r>
        <w:separator/>
      </w:r>
    </w:p>
  </w:endnote>
  <w:endnote w:type="continuationSeparator" w:id="0">
    <w:p w14:paraId="21979D3D" w14:textId="77777777" w:rsidR="00830926" w:rsidRDefault="00830926" w:rsidP="00C2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87DD" w14:textId="77777777" w:rsidR="00830926" w:rsidRDefault="00830926" w:rsidP="00C20930">
      <w:r>
        <w:separator/>
      </w:r>
    </w:p>
  </w:footnote>
  <w:footnote w:type="continuationSeparator" w:id="0">
    <w:p w14:paraId="130CB650" w14:textId="77777777" w:rsidR="00830926" w:rsidRDefault="00830926" w:rsidP="00C2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2pt" o:bullet="t">
        <v:imagedata r:id="rId1" o:title="artEB17"/>
      </v:shape>
    </w:pict>
  </w:numPicBullet>
  <w:abstractNum w:abstractNumId="0" w15:restartNumberingAfterBreak="0">
    <w:nsid w:val="0343418C"/>
    <w:multiLevelType w:val="hybridMultilevel"/>
    <w:tmpl w:val="AB648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231F4"/>
    <w:multiLevelType w:val="hybridMultilevel"/>
    <w:tmpl w:val="2A44E5B6"/>
    <w:lvl w:ilvl="0" w:tplc="051EC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0ABC6">
      <w:start w:val="11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54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C51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6D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7AB9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FA85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BF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E1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A77A93"/>
    <w:multiLevelType w:val="hybridMultilevel"/>
    <w:tmpl w:val="751C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47DC"/>
    <w:multiLevelType w:val="hybridMultilevel"/>
    <w:tmpl w:val="16EA7034"/>
    <w:lvl w:ilvl="0" w:tplc="ECBED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83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668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B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71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413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E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E70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226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01592B"/>
    <w:multiLevelType w:val="hybridMultilevel"/>
    <w:tmpl w:val="20748170"/>
    <w:lvl w:ilvl="0" w:tplc="2CA66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84B0">
      <w:start w:val="11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60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05E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67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696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6B2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20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DC3A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BF16FC"/>
    <w:multiLevelType w:val="hybridMultilevel"/>
    <w:tmpl w:val="45CAE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700E9"/>
    <w:multiLevelType w:val="hybridMultilevel"/>
    <w:tmpl w:val="3C168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A63A8"/>
    <w:multiLevelType w:val="hybridMultilevel"/>
    <w:tmpl w:val="44F8618E"/>
    <w:lvl w:ilvl="0" w:tplc="0F22D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26931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1E5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4EA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4F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E1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4F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E0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622986"/>
    <w:multiLevelType w:val="hybridMultilevel"/>
    <w:tmpl w:val="87044314"/>
    <w:lvl w:ilvl="0" w:tplc="A6A6A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082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CDF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801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E1B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ECD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01C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A06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8C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960EF1"/>
    <w:multiLevelType w:val="hybridMultilevel"/>
    <w:tmpl w:val="F03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57BFD"/>
    <w:multiLevelType w:val="hybridMultilevel"/>
    <w:tmpl w:val="E6500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11567"/>
    <w:multiLevelType w:val="hybridMultilevel"/>
    <w:tmpl w:val="F1D0800C"/>
    <w:lvl w:ilvl="0" w:tplc="11F6705C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448BA"/>
    <w:multiLevelType w:val="hybridMultilevel"/>
    <w:tmpl w:val="8A7C59AC"/>
    <w:lvl w:ilvl="0" w:tplc="8EF6D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E96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A9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864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E50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6D7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02D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E20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387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6625E76"/>
    <w:multiLevelType w:val="hybridMultilevel"/>
    <w:tmpl w:val="44A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D3"/>
    <w:rsid w:val="00003568"/>
    <w:rsid w:val="0005508D"/>
    <w:rsid w:val="000A21B6"/>
    <w:rsid w:val="000A63F3"/>
    <w:rsid w:val="000F7724"/>
    <w:rsid w:val="001032F2"/>
    <w:rsid w:val="00125233"/>
    <w:rsid w:val="00194026"/>
    <w:rsid w:val="001D1930"/>
    <w:rsid w:val="001F2CF4"/>
    <w:rsid w:val="00202943"/>
    <w:rsid w:val="002252EF"/>
    <w:rsid w:val="0029610E"/>
    <w:rsid w:val="002D507C"/>
    <w:rsid w:val="003C6A33"/>
    <w:rsid w:val="003D52E3"/>
    <w:rsid w:val="004044CF"/>
    <w:rsid w:val="0041520E"/>
    <w:rsid w:val="0042526A"/>
    <w:rsid w:val="0051071D"/>
    <w:rsid w:val="005314E4"/>
    <w:rsid w:val="00544D10"/>
    <w:rsid w:val="00587945"/>
    <w:rsid w:val="00607F7F"/>
    <w:rsid w:val="006152C3"/>
    <w:rsid w:val="00622529"/>
    <w:rsid w:val="00670A1D"/>
    <w:rsid w:val="007A405C"/>
    <w:rsid w:val="00830926"/>
    <w:rsid w:val="00880EA9"/>
    <w:rsid w:val="009134D3"/>
    <w:rsid w:val="009222FB"/>
    <w:rsid w:val="00945670"/>
    <w:rsid w:val="009A2A20"/>
    <w:rsid w:val="009A2C16"/>
    <w:rsid w:val="00A02865"/>
    <w:rsid w:val="00A94614"/>
    <w:rsid w:val="00A97DAD"/>
    <w:rsid w:val="00AD15B7"/>
    <w:rsid w:val="00AD15FC"/>
    <w:rsid w:val="00B000AA"/>
    <w:rsid w:val="00B05638"/>
    <w:rsid w:val="00BC1E48"/>
    <w:rsid w:val="00BF39DB"/>
    <w:rsid w:val="00C13735"/>
    <w:rsid w:val="00C20930"/>
    <w:rsid w:val="00CC14B2"/>
    <w:rsid w:val="00CC32E2"/>
    <w:rsid w:val="00CD5EB0"/>
    <w:rsid w:val="00D73ADD"/>
    <w:rsid w:val="00E82F90"/>
    <w:rsid w:val="00F03758"/>
    <w:rsid w:val="00F35CF2"/>
    <w:rsid w:val="00F97B33"/>
    <w:rsid w:val="00FD549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50A8A"/>
  <w14:defaultImageDpi w14:val="300"/>
  <w15:docId w15:val="{25F371C3-4544-40F4-A4FD-A19B1448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4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20930"/>
  </w:style>
  <w:style w:type="character" w:customStyle="1" w:styleId="FootnoteTextChar">
    <w:name w:val="Footnote Text Char"/>
    <w:basedOn w:val="DefaultParagraphFont"/>
    <w:link w:val="FootnoteText"/>
    <w:uiPriority w:val="99"/>
    <w:rsid w:val="00C20930"/>
  </w:style>
  <w:style w:type="character" w:styleId="FootnoteReference">
    <w:name w:val="footnote reference"/>
    <w:basedOn w:val="DefaultParagraphFont"/>
    <w:uiPriority w:val="99"/>
    <w:unhideWhenUsed/>
    <w:rsid w:val="00C209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cc.howardcountymd.gov/Portals/0/Documents/Budget/FY2019/SAAC%20Report%20FY%202019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census.gov/cedsci/geoprofile?q=Howard%20County,%20Maryland&amp;g=0500000US24027&amp;ps=search*suggestions@fal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shoco.org/SSIR2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ihc.org/oor/mary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zQNHs4E8z0vTXpHSFNjZXNKSUU/vie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DEB65-43C5-6B49-9033-C5E3BB14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eng</dc:creator>
  <cp:keywords/>
  <dc:description/>
  <cp:lastModifiedBy>Maureen Heim</cp:lastModifiedBy>
  <cp:revision>2</cp:revision>
  <dcterms:created xsi:type="dcterms:W3CDTF">2018-09-11T18:26:00Z</dcterms:created>
  <dcterms:modified xsi:type="dcterms:W3CDTF">2018-09-11T18:26:00Z</dcterms:modified>
</cp:coreProperties>
</file>